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F1759C" w:rsidRDefault="00F1759C" w:rsidP="00F1759C">
      <w:pPr>
        <w:pStyle w:val="Title"/>
      </w:pPr>
      <w:r>
        <w:t xml:space="preserve">Webinar </w:t>
      </w:r>
      <w:r w:rsidR="00280B5C">
        <w:t>3</w:t>
      </w:r>
      <w:r>
        <w:t xml:space="preserve"> – </w:t>
      </w:r>
      <w:r w:rsidR="00280B5C">
        <w:t>Recalibration</w:t>
      </w:r>
    </w:p>
    <w:p w:rsidR="00F1759C" w:rsidRPr="00F1759C" w:rsidRDefault="00F1759C" w:rsidP="00F1759C">
      <w:pPr>
        <w:pStyle w:val="Subtitle"/>
        <w:jc w:val="center"/>
      </w:pPr>
      <w:r>
        <w:t>Q&amp;A</w:t>
      </w:r>
    </w:p>
    <w:p w:rsidR="00280B5C" w:rsidRDefault="00280B5C" w:rsidP="00280B5C">
      <w:pPr>
        <w:tabs>
          <w:tab w:val="left" w:pos="360"/>
        </w:tabs>
      </w:pPr>
      <w:r>
        <w:t>Q</w:t>
      </w:r>
      <w:r>
        <w:t>1</w:t>
      </w:r>
      <w:r>
        <w:t xml:space="preserve">: Are the technical audit results available for review? </w:t>
      </w:r>
      <w:r>
        <w:softHyphen/>
      </w:r>
    </w:p>
    <w:p w:rsidR="00280B5C" w:rsidRDefault="00280B5C" w:rsidP="00280B5C">
      <w:pPr>
        <w:tabs>
          <w:tab w:val="left" w:pos="360"/>
        </w:tabs>
      </w:pPr>
      <w:r>
        <w:tab/>
      </w:r>
      <w:r>
        <w:tab/>
        <w:t>A: They are not. It was an internal report presented to the Pavement ME Task Force</w:t>
      </w:r>
    </w:p>
    <w:p w:rsidR="00280B5C" w:rsidRDefault="00280B5C" w:rsidP="00280B5C">
      <w:pPr>
        <w:tabs>
          <w:tab w:val="left" w:pos="360"/>
        </w:tabs>
      </w:pPr>
      <w:r>
        <w:t>________________________________________________________________</w:t>
      </w:r>
    </w:p>
    <w:p w:rsidR="00280B5C" w:rsidRDefault="00280B5C" w:rsidP="00280B5C">
      <w:pPr>
        <w:tabs>
          <w:tab w:val="left" w:pos="360"/>
        </w:tabs>
      </w:pPr>
      <w:r>
        <w:t>Q</w:t>
      </w:r>
      <w:r>
        <w:t>2</w:t>
      </w:r>
      <w:r>
        <w:t xml:space="preserve">: </w:t>
      </w:r>
      <w:r>
        <w:softHyphen/>
        <w:t xml:space="preserve">Is there any report or publication on the details of the recalibration? </w:t>
      </w:r>
      <w:r>
        <w:softHyphen/>
      </w:r>
    </w:p>
    <w:p w:rsidR="00280B5C" w:rsidRDefault="00280B5C" w:rsidP="00280B5C">
      <w:pPr>
        <w:tabs>
          <w:tab w:val="left" w:pos="360"/>
        </w:tabs>
        <w:ind w:left="720"/>
      </w:pPr>
      <w:r>
        <w:t xml:space="preserve">A: </w:t>
      </w:r>
      <w:r>
        <w:softHyphen/>
        <w:t xml:space="preserve">Yes, there is a report for the recalibration. It will be released after Pavement ME Task Force Final </w:t>
      </w:r>
      <w:proofErr w:type="gramStart"/>
      <w:r>
        <w:t>review.</w:t>
      </w:r>
      <w:r>
        <w:softHyphen/>
      </w:r>
      <w:proofErr w:type="gramEnd"/>
    </w:p>
    <w:p w:rsidR="00280B5C" w:rsidRDefault="00280B5C" w:rsidP="00280B5C">
      <w:pPr>
        <w:tabs>
          <w:tab w:val="left" w:pos="360"/>
        </w:tabs>
      </w:pPr>
      <w:r>
        <w:t>________________________________________________________________</w:t>
      </w:r>
    </w:p>
    <w:p w:rsidR="00280B5C" w:rsidRDefault="00280B5C" w:rsidP="00280B5C">
      <w:pPr>
        <w:tabs>
          <w:tab w:val="left" w:pos="360"/>
        </w:tabs>
      </w:pPr>
      <w:r>
        <w:t>Q</w:t>
      </w:r>
      <w:r>
        <w:t>3</w:t>
      </w:r>
      <w:r>
        <w:t xml:space="preserve">: </w:t>
      </w:r>
      <w:r>
        <w:softHyphen/>
        <w:t xml:space="preserve">When evaluating the thick and thin AC segment, were equivalent traffic volumes and percent trucks comparable for the &lt; 2.0-inch segments and for the &gt; 2.0-inch AC thicknesses? </w:t>
      </w:r>
      <w:r>
        <w:softHyphen/>
      </w:r>
    </w:p>
    <w:p w:rsidR="00280B5C" w:rsidRDefault="00280B5C" w:rsidP="00280B5C">
      <w:pPr>
        <w:tabs>
          <w:tab w:val="left" w:pos="360"/>
        </w:tabs>
        <w:ind w:left="720"/>
      </w:pPr>
      <w:r>
        <w:t>A: Yes.  Most of this information for comparing thin and thick pavements were from test sections within the SPS-9, SPS-8 and SPS-1 experiments.  Multiple test sections were placed or constructed along the same segment of the roadway, so the truck traffic is the same between all segments within that project.</w:t>
      </w:r>
    </w:p>
    <w:p w:rsidR="00280B5C" w:rsidRDefault="00280B5C" w:rsidP="00280B5C">
      <w:pPr>
        <w:tabs>
          <w:tab w:val="left" w:pos="360"/>
        </w:tabs>
      </w:pPr>
      <w:r>
        <w:t>________________________________________________________________</w:t>
      </w:r>
    </w:p>
    <w:p w:rsidR="00280B5C" w:rsidRDefault="00280B5C" w:rsidP="00280B5C">
      <w:pPr>
        <w:tabs>
          <w:tab w:val="left" w:pos="360"/>
        </w:tabs>
      </w:pPr>
      <w:r>
        <w:t>Q</w:t>
      </w:r>
      <w:r>
        <w:t>4</w:t>
      </w:r>
      <w:r>
        <w:t xml:space="preserve">: </w:t>
      </w:r>
      <w:r>
        <w:softHyphen/>
        <w:t xml:space="preserve">Rutting question - in v2.5.x lab determined </w:t>
      </w:r>
      <w:proofErr w:type="spellStart"/>
      <w:r>
        <w:t>kr</w:t>
      </w:r>
      <w:proofErr w:type="spellEnd"/>
      <w:r>
        <w:t xml:space="preserve"> values were determined using confined or unconfined test set up? What is the recommended test protocol to determine lab determined </w:t>
      </w:r>
      <w:proofErr w:type="spellStart"/>
      <w:r>
        <w:t>kr</w:t>
      </w:r>
      <w:proofErr w:type="spellEnd"/>
      <w:r>
        <w:t xml:space="preserve"> values for state agencies (confined vs. unconfined)? (For both dense graded and SMA </w:t>
      </w:r>
      <w:r>
        <w:softHyphen/>
        <w:t>materials).</w:t>
      </w:r>
    </w:p>
    <w:p w:rsidR="00280B5C" w:rsidRDefault="00280B5C" w:rsidP="00280B5C">
      <w:pPr>
        <w:tabs>
          <w:tab w:val="left" w:pos="360"/>
        </w:tabs>
        <w:ind w:left="720"/>
      </w:pPr>
      <w:r>
        <w:t xml:space="preserve">A: </w:t>
      </w:r>
      <w:r>
        <w:softHyphen/>
      </w:r>
      <w:r w:rsidRPr="00675AC8">
        <w:t xml:space="preserve"> </w:t>
      </w:r>
      <w:r>
        <w:t>Answer to first question – The laboratory-derived model coefficients or the k-values, were determined using repeated load confined tests in accordance with the procedure included in the NCHRP 9-30A, Report #719.</w:t>
      </w:r>
    </w:p>
    <w:p w:rsidR="00280B5C" w:rsidRDefault="00280B5C" w:rsidP="00280B5C">
      <w:pPr>
        <w:tabs>
          <w:tab w:val="left" w:pos="360"/>
        </w:tabs>
        <w:ind w:left="720"/>
      </w:pPr>
      <w:r>
        <w:t>Answer to second question – The procedure identified in the NCHRP Report #719, which represents or includes confinement of the test specimen.  That procedure is applicable to both dense-graded neat AC mixtures and SMA mixtures.  It has also been used for open-graded mixtures but the key issue in testing open-graded mixtures are leaks in the membrane.  The Testing and Data Interpretation Guides for determining the plastic deformation properties (the k-values) of AC mixtures is under development through a project sponsored by FHWA.  The contract number for that project is DTFH61-13-C-00029, for which Advanced Asphalt Technologies in the prime contractor.</w:t>
      </w:r>
    </w:p>
    <w:p w:rsidR="00280B5C" w:rsidRDefault="00280B5C" w:rsidP="00280B5C">
      <w:pPr>
        <w:tabs>
          <w:tab w:val="left" w:pos="360"/>
        </w:tabs>
      </w:pPr>
      <w:r>
        <w:t>________________________________________________________________</w:t>
      </w:r>
    </w:p>
    <w:p w:rsidR="00280B5C" w:rsidRDefault="00280B5C" w:rsidP="00280B5C">
      <w:pPr>
        <w:tabs>
          <w:tab w:val="left" w:pos="360"/>
        </w:tabs>
      </w:pPr>
      <w:r>
        <w:t>Q</w:t>
      </w:r>
      <w:r>
        <w:t>5</w:t>
      </w:r>
      <w:r>
        <w:t xml:space="preserve">: </w:t>
      </w:r>
      <w:r>
        <w:softHyphen/>
        <w:t xml:space="preserve">What climate source was used for MAAT (Mean Annual Air Temperature) in the analysis?  MERRA-2? </w:t>
      </w:r>
      <w:r>
        <w:softHyphen/>
      </w:r>
    </w:p>
    <w:p w:rsidR="00280B5C" w:rsidRDefault="00280B5C" w:rsidP="00280B5C">
      <w:pPr>
        <w:tabs>
          <w:tab w:val="left" w:pos="360"/>
        </w:tabs>
      </w:pPr>
      <w:r>
        <w:tab/>
      </w:r>
      <w:r>
        <w:tab/>
        <w:t xml:space="preserve">A: </w:t>
      </w:r>
      <w:r>
        <w:softHyphen/>
        <w:t>MERRA2 was used in the recalibration effort.</w:t>
      </w:r>
    </w:p>
    <w:p w:rsidR="00280B5C" w:rsidRDefault="00280B5C" w:rsidP="00280B5C">
      <w:pPr>
        <w:tabs>
          <w:tab w:val="left" w:pos="360"/>
        </w:tabs>
      </w:pPr>
      <w:r>
        <w:lastRenderedPageBreak/>
        <w:t>________________________________________________________________</w:t>
      </w:r>
    </w:p>
    <w:p w:rsidR="00280B5C" w:rsidRDefault="00280B5C" w:rsidP="00280B5C">
      <w:pPr>
        <w:tabs>
          <w:tab w:val="left" w:pos="360"/>
        </w:tabs>
      </w:pPr>
      <w:r>
        <w:t>Q</w:t>
      </w:r>
      <w:r>
        <w:t>6</w:t>
      </w:r>
      <w:r>
        <w:t xml:space="preserve">: </w:t>
      </w:r>
      <w:r>
        <w:softHyphen/>
        <w:t>For Regions with a MAAT &gt; 57, Is the mechanism driving transverse cracking the temperature differential of the annual low and annual high temperatures?  Should the model be changed to a cold region model and a hot weather model &gt; 57 selected by the user.?</w:t>
      </w:r>
    </w:p>
    <w:p w:rsidR="00280B5C" w:rsidRDefault="00280B5C" w:rsidP="00280B5C">
      <w:pPr>
        <w:tabs>
          <w:tab w:val="left" w:pos="360"/>
        </w:tabs>
        <w:ind w:left="720"/>
      </w:pPr>
      <w:r>
        <w:t xml:space="preserve">A: It is not certain if the driving mechanism is due to the differential between annual high and low temperatures. It is expected that it is </w:t>
      </w:r>
      <w:proofErr w:type="gramStart"/>
      <w:r>
        <w:t>an</w:t>
      </w:r>
      <w:proofErr w:type="gramEnd"/>
      <w:r>
        <w:t xml:space="preserve"> mechanism that has not yet been truly quantified (shrinkage of the AC). Not enough research has been performed to suggest that two different models be implemented at this time. This can be investigated when NCHRP or FHWA studies attempt to quantify this mechanism.</w:t>
      </w:r>
    </w:p>
    <w:p w:rsidR="00280B5C" w:rsidRDefault="00280B5C" w:rsidP="00280B5C">
      <w:pPr>
        <w:tabs>
          <w:tab w:val="left" w:pos="360"/>
        </w:tabs>
      </w:pPr>
      <w:r>
        <w:t>________________________________________________________________</w:t>
      </w:r>
    </w:p>
    <w:p w:rsidR="00280B5C" w:rsidRDefault="00280B5C" w:rsidP="00280B5C">
      <w:pPr>
        <w:tabs>
          <w:tab w:val="left" w:pos="360"/>
        </w:tabs>
      </w:pPr>
      <w:r>
        <w:t>Q</w:t>
      </w:r>
      <w:r>
        <w:t>7</w:t>
      </w:r>
      <w:r>
        <w:t xml:space="preserve">: </w:t>
      </w:r>
      <w:r>
        <w:softHyphen/>
        <w:t xml:space="preserve">In warm climates like in AZ, the reduction in overall volume of the AC mat due to loss of binder as a result of oxidation/volatilization seems to be a factor in transverse cracking.  Is this considered in the modeling? </w:t>
      </w:r>
      <w:r>
        <w:softHyphen/>
      </w:r>
    </w:p>
    <w:p w:rsidR="00280B5C" w:rsidRDefault="00280B5C" w:rsidP="00280B5C">
      <w:pPr>
        <w:tabs>
          <w:tab w:val="left" w:pos="360"/>
        </w:tabs>
        <w:ind w:left="720"/>
      </w:pPr>
      <w:r>
        <w:t xml:space="preserve">A: </w:t>
      </w:r>
      <w:r>
        <w:softHyphen/>
      </w:r>
      <w:r w:rsidRPr="00675AC8">
        <w:t xml:space="preserve"> </w:t>
      </w:r>
      <w:r>
        <w:t>No, not directly.  Many roadway segments located in the mild climates exhibit transverse cracking, but the Pavement ME Design software did not predict transverse cracks using the global calibration coefficient with the earlier versions of the software (version 2.3.1 and earlier).  During the calibration work for version 2.5, it was observed that the residual error for transverse cracking was heavily dependent on mean annual air temperature, even in the cold climates.  As such, the calibration coefficient for transverse cracking was revised to be mean annual air temperature dependent. This was a crude way to remove the bias in transverse cracking for warm and mild climates.  The Pavement ME Design team has recommended that a separate methodology of shrinkage or something similar to added to the MEPDG in predicting transverse cracks for some time.</w:t>
      </w:r>
    </w:p>
    <w:p w:rsidR="00280B5C" w:rsidRDefault="00280B5C" w:rsidP="00280B5C">
      <w:pPr>
        <w:tabs>
          <w:tab w:val="left" w:pos="360"/>
        </w:tabs>
      </w:pPr>
      <w:r>
        <w:t>________________________________________________________________</w:t>
      </w:r>
    </w:p>
    <w:p w:rsidR="00280B5C" w:rsidRDefault="00280B5C" w:rsidP="00280B5C">
      <w:pPr>
        <w:tabs>
          <w:tab w:val="left" w:pos="360"/>
        </w:tabs>
      </w:pPr>
      <w:r>
        <w:t>Q</w:t>
      </w:r>
      <w:r>
        <w:t>8</w:t>
      </w:r>
      <w:r>
        <w:t xml:space="preserve">: </w:t>
      </w:r>
      <w:r>
        <w:softHyphen/>
        <w:t>Are all these examples for neat asphalts only? What happens with PMA (polymer modified asphalt</w:t>
      </w:r>
      <w:proofErr w:type="gramStart"/>
      <w:r>
        <w:t>)?</w:t>
      </w:r>
      <w:r>
        <w:softHyphen/>
      </w:r>
      <w:proofErr w:type="gramEnd"/>
    </w:p>
    <w:p w:rsidR="00280B5C" w:rsidRDefault="00280B5C" w:rsidP="00280B5C">
      <w:pPr>
        <w:tabs>
          <w:tab w:val="left" w:pos="360"/>
        </w:tabs>
        <w:ind w:left="720"/>
      </w:pPr>
      <w:r>
        <w:t>A: The majority of the LTPP sections were built using neat binders. Fatigue crack resistance is increased when using PMA mixtures.</w:t>
      </w:r>
    </w:p>
    <w:p w:rsidR="00280B5C" w:rsidRDefault="00280B5C" w:rsidP="00280B5C">
      <w:pPr>
        <w:tabs>
          <w:tab w:val="left" w:pos="360"/>
        </w:tabs>
      </w:pPr>
      <w:r>
        <w:t>________________________________________________________________</w:t>
      </w:r>
    </w:p>
    <w:p w:rsidR="00280B5C" w:rsidRDefault="00280B5C" w:rsidP="00280B5C">
      <w:pPr>
        <w:tabs>
          <w:tab w:val="left" w:pos="360"/>
        </w:tabs>
      </w:pPr>
      <w:r>
        <w:t>Q</w:t>
      </w:r>
      <w:r>
        <w:t>9</w:t>
      </w:r>
      <w:r>
        <w:t xml:space="preserve">: </w:t>
      </w:r>
      <w:r>
        <w:softHyphen/>
        <w:t xml:space="preserve">We observed that the aggregate gradation plays a significant role in prevention of transverse cracking.  Is this factor considered in the modeling?  </w:t>
      </w:r>
      <w:r>
        <w:softHyphen/>
      </w:r>
    </w:p>
    <w:p w:rsidR="00280B5C" w:rsidRDefault="00280B5C" w:rsidP="00280B5C">
      <w:pPr>
        <w:tabs>
          <w:tab w:val="left" w:pos="360"/>
        </w:tabs>
        <w:ind w:left="720"/>
      </w:pPr>
      <w:r>
        <w:t>A: No for input level 3.  It is indirectly considered for input levels 1 and 2, because the IDT strength and creep compliance are measured for the specific mixture.  The IDT strength is definitely dependent on the aggregate gradation, as well as creep compliance.</w:t>
      </w:r>
    </w:p>
    <w:p w:rsidR="00280B5C" w:rsidRDefault="00280B5C" w:rsidP="00280B5C">
      <w:pPr>
        <w:tabs>
          <w:tab w:val="left" w:pos="360"/>
        </w:tabs>
      </w:pPr>
      <w:r>
        <w:t>________________________________________________________________</w:t>
      </w:r>
    </w:p>
    <w:p w:rsidR="00280B5C" w:rsidRDefault="00280B5C" w:rsidP="00280B5C">
      <w:pPr>
        <w:tabs>
          <w:tab w:val="left" w:pos="360"/>
        </w:tabs>
      </w:pPr>
      <w:r>
        <w:t>Q</w:t>
      </w:r>
      <w:r>
        <w:t>10</w:t>
      </w:r>
      <w:r>
        <w:t xml:space="preserve">: </w:t>
      </w:r>
      <w:r>
        <w:softHyphen/>
        <w:t xml:space="preserve">Has any consideration been given to merging the two cracking types – top-down &amp; bottom-up - into one criterion?  Understandably, their mechanisms are different, but could there be some sort of generalized assumptions to merge them? </w:t>
      </w:r>
      <w:r>
        <w:softHyphen/>
      </w:r>
    </w:p>
    <w:p w:rsidR="00280B5C" w:rsidRDefault="00280B5C" w:rsidP="00280B5C">
      <w:pPr>
        <w:tabs>
          <w:tab w:val="left" w:pos="360"/>
        </w:tabs>
        <w:ind w:left="720"/>
      </w:pPr>
      <w:r>
        <w:lastRenderedPageBreak/>
        <w:t>A: Yes, it has been considered but they are still separate predictions within the MEPDG.  In all probability, the bottom-up alligator cracks and top-down longitudinal cracks will remain separate predictions and will not be combined in the near future.  It should be pointed out that the top-down cracking prediction model from NCHRP 1-52 is being integrated into the Pavement ME Design software this fiscal year, so there is a chance this could change.</w:t>
      </w:r>
    </w:p>
    <w:p w:rsidR="00280B5C" w:rsidRDefault="00280B5C" w:rsidP="00280B5C">
      <w:pPr>
        <w:tabs>
          <w:tab w:val="left" w:pos="360"/>
        </w:tabs>
      </w:pPr>
      <w:r>
        <w:t>___________________________________________________________</w:t>
      </w:r>
      <w:r>
        <w:tab/>
        <w:t>_____</w:t>
      </w:r>
    </w:p>
    <w:p w:rsidR="00280B5C" w:rsidRDefault="00280B5C" w:rsidP="00280B5C">
      <w:pPr>
        <w:tabs>
          <w:tab w:val="left" w:pos="360"/>
        </w:tabs>
      </w:pPr>
      <w:r>
        <w:t>Q</w:t>
      </w:r>
      <w:r>
        <w:t>11</w:t>
      </w:r>
      <w:r>
        <w:t xml:space="preserve">: </w:t>
      </w:r>
      <w:r>
        <w:softHyphen/>
        <w:t xml:space="preserve">With the [bottom up] fatigue cracking on thick pavements, was the entire thickness of AC, say 12 inches, placed at the same time?  I typically only see bottom up cracking on thick pavements that have been built up over many years. </w:t>
      </w:r>
      <w:r>
        <w:softHyphen/>
      </w:r>
    </w:p>
    <w:p w:rsidR="00280B5C" w:rsidRDefault="00280B5C" w:rsidP="00280B5C">
      <w:pPr>
        <w:tabs>
          <w:tab w:val="left" w:pos="360"/>
        </w:tabs>
        <w:ind w:left="720"/>
      </w:pPr>
      <w:r>
        <w:t xml:space="preserve">A: The sections presented [in the webinar] are new flexible pavements that were placed at the same time. </w:t>
      </w:r>
      <w:r>
        <w:softHyphen/>
      </w:r>
    </w:p>
    <w:p w:rsidR="00280B5C" w:rsidRDefault="00280B5C" w:rsidP="00280B5C">
      <w:pPr>
        <w:tabs>
          <w:tab w:val="left" w:pos="360"/>
        </w:tabs>
      </w:pPr>
      <w:r>
        <w:t>________________________________________________________________</w:t>
      </w:r>
    </w:p>
    <w:p w:rsidR="00280B5C" w:rsidRDefault="00280B5C" w:rsidP="00280B5C">
      <w:pPr>
        <w:tabs>
          <w:tab w:val="left" w:pos="360"/>
        </w:tabs>
      </w:pPr>
      <w:r>
        <w:t>Q</w:t>
      </w:r>
      <w:r>
        <w:t>12</w:t>
      </w:r>
      <w:r>
        <w:t xml:space="preserve">: </w:t>
      </w:r>
      <w:r>
        <w:softHyphen/>
        <w:t xml:space="preserve">Are there coefficients to enter that correspond to older binders or polymer-modified binders? </w:t>
      </w:r>
      <w:r>
        <w:softHyphen/>
      </w:r>
    </w:p>
    <w:p w:rsidR="00280B5C" w:rsidRDefault="00280B5C" w:rsidP="00280B5C">
      <w:pPr>
        <w:tabs>
          <w:tab w:val="left" w:pos="360"/>
        </w:tabs>
      </w:pPr>
      <w:r>
        <w:tab/>
      </w:r>
      <w:r>
        <w:tab/>
        <w:t>A: There is a report that provides recommendations for older binders and PMA binders.</w:t>
      </w:r>
    </w:p>
    <w:p w:rsidR="00280B5C" w:rsidRDefault="00280B5C" w:rsidP="00280B5C">
      <w:pPr>
        <w:tabs>
          <w:tab w:val="left" w:pos="360"/>
        </w:tabs>
      </w:pPr>
      <w:r>
        <w:t>________________________________________________________________</w:t>
      </w:r>
    </w:p>
    <w:p w:rsidR="00280B5C" w:rsidRDefault="00280B5C" w:rsidP="00280B5C">
      <w:pPr>
        <w:tabs>
          <w:tab w:val="left" w:pos="360"/>
        </w:tabs>
      </w:pPr>
      <w:r>
        <w:t>Q</w:t>
      </w:r>
      <w:r>
        <w:t>13</w:t>
      </w:r>
      <w:bookmarkStart w:id="0" w:name="_GoBack"/>
      <w:bookmarkEnd w:id="0"/>
      <w:r>
        <w:t xml:space="preserve">: </w:t>
      </w:r>
      <w:r>
        <w:softHyphen/>
        <w:t xml:space="preserve">In earlier versions software, the default local calibration coefficients were 1, then users are easy to input agency local calibration coefficients. In the V2.5, how to input local calibration coefficient? </w:t>
      </w:r>
      <w:r>
        <w:softHyphen/>
      </w:r>
    </w:p>
    <w:p w:rsidR="00280B5C" w:rsidRDefault="00280B5C" w:rsidP="00280B5C">
      <w:pPr>
        <w:tabs>
          <w:tab w:val="left" w:pos="360"/>
        </w:tabs>
        <w:ind w:left="720"/>
      </w:pPr>
      <w:r>
        <w:t>A: A detailed memo is available on the ME-design website that outlines how to use local coefficients. In previous versions, the field and laboratory coefficients were combined into one value. In this version, the values were separated out to provide a better understanding of the differences between lab derived coefficients and field adjustment factors.</w:t>
      </w:r>
    </w:p>
    <w:p w:rsidR="00280B5C" w:rsidRDefault="00280B5C" w:rsidP="00280B5C">
      <w:pPr>
        <w:tabs>
          <w:tab w:val="left" w:pos="360"/>
        </w:tabs>
      </w:pPr>
      <w:r>
        <w:t>________________________________________________________________</w:t>
      </w:r>
    </w:p>
    <w:p w:rsidR="00F1759C" w:rsidRPr="00F1759C" w:rsidRDefault="00F1759C" w:rsidP="00F1759C"/>
    <w:sectPr w:rsidR="00F1759C" w:rsidRPr="00F1759C">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1759C"/>
    <w:rsid w:val="0026637B"/>
    <w:rsid w:val="00280B5C"/>
    <w:rsid w:val="005F33B0"/>
    <w:rsid w:val="008B2606"/>
    <w:rsid w:val="00AF57CE"/>
    <w:rsid w:val="00BA2067"/>
    <w:rsid w:val="00C62CA0"/>
    <w:rsid w:val="00D5436D"/>
    <w:rsid w:val="00F1759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2180DB9"/>
  <w15:chartTrackingRefBased/>
  <w15:docId w15:val="{BE895AD6-306C-404F-A6EA-DD3A79C1718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link w:val="TitleChar"/>
    <w:uiPriority w:val="10"/>
    <w:qFormat/>
    <w:rsid w:val="00F1759C"/>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F1759C"/>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F1759C"/>
    <w:pPr>
      <w:numPr>
        <w:ilvl w:val="1"/>
      </w:numPr>
    </w:pPr>
    <w:rPr>
      <w:rFonts w:eastAsiaTheme="minorEastAsia"/>
      <w:color w:val="5A5A5A" w:themeColor="text1" w:themeTint="A5"/>
      <w:spacing w:val="15"/>
    </w:rPr>
  </w:style>
  <w:style w:type="character" w:customStyle="1" w:styleId="SubtitleChar">
    <w:name w:val="Subtitle Char"/>
    <w:basedOn w:val="DefaultParagraphFont"/>
    <w:link w:val="Subtitle"/>
    <w:uiPriority w:val="11"/>
    <w:rsid w:val="00F1759C"/>
    <w:rPr>
      <w:rFonts w:eastAsiaTheme="minorEastAsia"/>
      <w:color w:val="5A5A5A" w:themeColor="text1" w:themeTint="A5"/>
      <w:spacing w:val="1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Pages>
  <Words>1079</Words>
  <Characters>6153</Characters>
  <Application>Microsoft Office Word</Application>
  <DocSecurity>0</DocSecurity>
  <Lines>51</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7218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cbecker@us.ara.com</dc:creator>
  <cp:keywords/>
  <dc:description/>
  <cp:lastModifiedBy>cbecker@us.ara.com</cp:lastModifiedBy>
  <cp:revision>2</cp:revision>
  <dcterms:created xsi:type="dcterms:W3CDTF">2018-09-17T15:50:00Z</dcterms:created>
  <dcterms:modified xsi:type="dcterms:W3CDTF">2018-09-17T15:50:00Z</dcterms:modified>
</cp:coreProperties>
</file>